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7268" w:rsidRPr="001A0A8F" w:rsidRDefault="00303675">
      <w:pPr>
        <w:pStyle w:val="Body"/>
        <w:spacing w:after="0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</w:pPr>
      <w:bookmarkStart w:id="0" w:name="_GoBack"/>
      <w:bookmarkEnd w:id="0"/>
      <w:r w:rsidRPr="001A0A8F">
        <w:rPr>
          <w:rFonts w:ascii="Arial" w:hAnsi="Arial"/>
          <w:b/>
          <w:bCs/>
          <w:sz w:val="20"/>
          <w:szCs w:val="20"/>
        </w:rPr>
        <w:t>THE INFORMATION CONTAINED WITHIN THIS ANNOUNCEMENT IS DEEMED BY THE COMPANY TO CONSTITUTE INSIDE INFORMATION AS STIPULATED UNDER THE EU MARKET ABUSE REGULATION (596/2014). UPON THE PUBLICATION OF THE ANNOUNCEMENT VIA A REGULATORY INFORMATION SERVICE, THIS INFORMATION IS CONSIDERED TO BE IN THE PUBLIC DOMAIN.</w:t>
      </w:r>
    </w:p>
    <w:p w:rsidR="00F67268" w:rsidRPr="001A0A8F" w:rsidRDefault="00F67268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F67268" w:rsidRDefault="009352EB">
      <w:pPr>
        <w:pStyle w:val="Body"/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6714B2">
        <w:rPr>
          <w:rFonts w:ascii="Arial" w:hAnsi="Arial"/>
          <w:b/>
          <w:bCs/>
          <w:sz w:val="20"/>
          <w:szCs w:val="20"/>
        </w:rPr>
        <w:t xml:space="preserve"> </w:t>
      </w:r>
      <w:r w:rsidR="0059762F">
        <w:rPr>
          <w:rFonts w:ascii="Arial" w:hAnsi="Arial"/>
          <w:b/>
          <w:bCs/>
          <w:sz w:val="20"/>
          <w:szCs w:val="20"/>
        </w:rPr>
        <w:t>January 2019</w:t>
      </w:r>
    </w:p>
    <w:p w:rsidR="00A775B9" w:rsidRPr="001A0A8F" w:rsidRDefault="00A775B9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F67268" w:rsidRPr="001A0A8F" w:rsidRDefault="009F65EC">
      <w:pPr>
        <w:pStyle w:val="Body"/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DIRECT</w:t>
      </w:r>
      <w:r w:rsidR="004C006F">
        <w:rPr>
          <w:rFonts w:ascii="Arial" w:hAnsi="Arial"/>
          <w:b/>
          <w:bCs/>
          <w:sz w:val="20"/>
          <w:szCs w:val="20"/>
        </w:rPr>
        <w:t>A</w:t>
      </w:r>
      <w:r>
        <w:rPr>
          <w:rFonts w:ascii="Arial" w:hAnsi="Arial"/>
          <w:b/>
          <w:bCs/>
          <w:sz w:val="20"/>
          <w:szCs w:val="20"/>
        </w:rPr>
        <w:t xml:space="preserve"> PLUS </w:t>
      </w:r>
      <w:r w:rsidR="00303675" w:rsidRPr="001A0A8F">
        <w:rPr>
          <w:rFonts w:ascii="Arial" w:hAnsi="Arial"/>
          <w:b/>
          <w:bCs/>
          <w:sz w:val="20"/>
          <w:szCs w:val="20"/>
        </w:rPr>
        <w:t>PLC</w:t>
      </w:r>
    </w:p>
    <w:p w:rsidR="00F67268" w:rsidRPr="001A0A8F" w:rsidRDefault="009F65EC">
      <w:pPr>
        <w:pStyle w:val="Body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("Directa Plus</w:t>
      </w:r>
      <w:r w:rsidR="00303675" w:rsidRPr="001A0A8F">
        <w:rPr>
          <w:rFonts w:ascii="Arial" w:hAnsi="Arial"/>
          <w:sz w:val="20"/>
          <w:szCs w:val="20"/>
        </w:rPr>
        <w:t>"</w:t>
      </w:r>
      <w:r w:rsidR="00642EF8">
        <w:rPr>
          <w:rFonts w:ascii="Arial" w:hAnsi="Arial"/>
          <w:sz w:val="20"/>
          <w:szCs w:val="20"/>
        </w:rPr>
        <w:t xml:space="preserve"> or</w:t>
      </w:r>
      <w:r w:rsidR="00303675" w:rsidRPr="001A0A8F">
        <w:rPr>
          <w:rFonts w:ascii="Arial" w:hAnsi="Arial"/>
          <w:sz w:val="20"/>
          <w:szCs w:val="20"/>
        </w:rPr>
        <w:t xml:space="preserve"> the "Company")</w:t>
      </w:r>
    </w:p>
    <w:p w:rsidR="00F67268" w:rsidRPr="001A0A8F" w:rsidRDefault="00F67268">
      <w:pPr>
        <w:pStyle w:val="Body"/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7268" w:rsidRDefault="0021674E">
      <w:pPr>
        <w:pStyle w:val="Body"/>
        <w:spacing w:after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Result</w:t>
      </w:r>
      <w:r w:rsidR="002B5EF9"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</w:rPr>
        <w:t xml:space="preserve"> of Open Offer</w:t>
      </w:r>
    </w:p>
    <w:p w:rsidR="00F67268" w:rsidRPr="001A0A8F" w:rsidRDefault="00F67268">
      <w:pPr>
        <w:pStyle w:val="Body"/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1674E" w:rsidRPr="0021674E" w:rsidRDefault="002B2C20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  <w:r w:rsidRPr="009F65EC">
        <w:rPr>
          <w:rFonts w:ascii="Arial" w:hAnsi="Arial"/>
          <w:sz w:val="20"/>
          <w:szCs w:val="20"/>
        </w:rPr>
        <w:t xml:space="preserve">Directa Plus (AIM: DCTA), a producer and supplier of graphene-based products for use in consumer and industrial markets, </w:t>
      </w:r>
      <w:r w:rsidR="0021674E" w:rsidRPr="0021674E">
        <w:rPr>
          <w:rFonts w:ascii="Arial" w:hAnsi="Arial"/>
          <w:sz w:val="20"/>
          <w:szCs w:val="20"/>
        </w:rPr>
        <w:t xml:space="preserve">is pleased to announce that further to the announcement of the </w:t>
      </w:r>
      <w:r w:rsidR="0021674E">
        <w:rPr>
          <w:rFonts w:ascii="Arial" w:hAnsi="Arial"/>
          <w:sz w:val="20"/>
          <w:szCs w:val="20"/>
        </w:rPr>
        <w:t>Open Offer on 13</w:t>
      </w:r>
      <w:r w:rsidR="0021674E" w:rsidRPr="0021674E">
        <w:rPr>
          <w:rFonts w:ascii="Arial" w:hAnsi="Arial"/>
          <w:sz w:val="20"/>
          <w:szCs w:val="20"/>
        </w:rPr>
        <w:t xml:space="preserve"> </w:t>
      </w:r>
      <w:r w:rsidR="0021674E">
        <w:rPr>
          <w:rFonts w:ascii="Arial" w:hAnsi="Arial"/>
          <w:sz w:val="20"/>
          <w:szCs w:val="20"/>
        </w:rPr>
        <w:t>December</w:t>
      </w:r>
      <w:r w:rsidR="0021674E" w:rsidRPr="0021674E">
        <w:rPr>
          <w:rFonts w:ascii="Arial" w:hAnsi="Arial"/>
          <w:sz w:val="20"/>
          <w:szCs w:val="20"/>
        </w:rPr>
        <w:t xml:space="preserve"> 2018, it has conditionally raised total gross proceeds of £</w:t>
      </w:r>
      <w:r w:rsidR="00D6325A">
        <w:rPr>
          <w:rFonts w:ascii="Arial" w:hAnsi="Arial" w:cs="Arial"/>
          <w:sz w:val="20"/>
          <w:szCs w:val="20"/>
        </w:rPr>
        <w:t>0.3 million</w:t>
      </w:r>
      <w:r w:rsidR="0021674E" w:rsidRPr="0021674E">
        <w:rPr>
          <w:rFonts w:ascii="Arial" w:hAnsi="Arial"/>
          <w:sz w:val="20"/>
          <w:szCs w:val="20"/>
        </w:rPr>
        <w:t xml:space="preserve"> via the Open Offer.</w:t>
      </w:r>
    </w:p>
    <w:p w:rsidR="0021674E" w:rsidRPr="0021674E" w:rsidRDefault="0021674E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</w:p>
    <w:p w:rsidR="0021674E" w:rsidRDefault="0021674E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  <w:r w:rsidRPr="0021674E">
        <w:rPr>
          <w:rFonts w:ascii="Arial" w:hAnsi="Arial"/>
          <w:sz w:val="20"/>
          <w:szCs w:val="20"/>
        </w:rPr>
        <w:t xml:space="preserve">The Open Offer closed for acceptances at 11.00 a.m. on </w:t>
      </w:r>
      <w:r>
        <w:rPr>
          <w:rFonts w:ascii="Arial" w:hAnsi="Arial"/>
          <w:sz w:val="20"/>
          <w:szCs w:val="20"/>
        </w:rPr>
        <w:t>4 January 2019</w:t>
      </w:r>
      <w:r w:rsidRPr="0021674E">
        <w:rPr>
          <w:rFonts w:ascii="Arial" w:hAnsi="Arial"/>
          <w:sz w:val="20"/>
          <w:szCs w:val="20"/>
        </w:rPr>
        <w:t xml:space="preserve">. The Company received valid acceptances from Qualifying Shareholders in respect of </w:t>
      </w:r>
      <w:r w:rsidR="00D6325A">
        <w:rPr>
          <w:rFonts w:ascii="Arial" w:hAnsi="Arial"/>
          <w:sz w:val="20"/>
          <w:szCs w:val="20"/>
        </w:rPr>
        <w:t>603,609</w:t>
      </w:r>
      <w:r w:rsidRPr="0021674E">
        <w:rPr>
          <w:rFonts w:ascii="Arial" w:hAnsi="Arial"/>
          <w:sz w:val="20"/>
          <w:szCs w:val="20"/>
        </w:rPr>
        <w:t xml:space="preserve"> Open Offer Shares, including applications for </w:t>
      </w:r>
      <w:r w:rsidR="00D6325A">
        <w:rPr>
          <w:rFonts w:ascii="Arial" w:hAnsi="Arial" w:cs="Arial"/>
          <w:sz w:val="20"/>
          <w:szCs w:val="20"/>
        </w:rPr>
        <w:t>344,736</w:t>
      </w:r>
      <w:r w:rsidRPr="0021674E">
        <w:rPr>
          <w:rFonts w:ascii="Arial" w:hAnsi="Arial"/>
          <w:sz w:val="20"/>
          <w:szCs w:val="20"/>
        </w:rPr>
        <w:t xml:space="preserve"> Open Offer Shares under the Excess Application Facility. This represents </w:t>
      </w:r>
      <w:r w:rsidR="00D6325A">
        <w:rPr>
          <w:rFonts w:ascii="Arial" w:hAnsi="Arial"/>
          <w:sz w:val="20"/>
          <w:szCs w:val="20"/>
        </w:rPr>
        <w:t>30.04</w:t>
      </w:r>
      <w:r w:rsidRPr="0021674E">
        <w:rPr>
          <w:rFonts w:ascii="Arial" w:hAnsi="Arial"/>
          <w:sz w:val="20"/>
          <w:szCs w:val="20"/>
        </w:rPr>
        <w:t xml:space="preserve"> per cent. of the maximum Open Offer Shares available under the Open Offer. Admission of the Open Offer shares is subject to passing the relevant resolutions at the General Meeting.</w:t>
      </w:r>
    </w:p>
    <w:p w:rsidR="00C94719" w:rsidRDefault="00C94719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</w:p>
    <w:p w:rsidR="009E4CA2" w:rsidRDefault="009E4CA2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  <w:r w:rsidRPr="009E4CA2">
        <w:rPr>
          <w:rFonts w:ascii="Arial" w:hAnsi="Arial"/>
          <w:sz w:val="20"/>
          <w:szCs w:val="20"/>
        </w:rPr>
        <w:t xml:space="preserve">Application has been made to the London Stock Exchange for the </w:t>
      </w:r>
      <w:r>
        <w:rPr>
          <w:rFonts w:ascii="Arial" w:hAnsi="Arial"/>
          <w:sz w:val="20"/>
          <w:szCs w:val="20"/>
        </w:rPr>
        <w:t>Conditional Placing</w:t>
      </w:r>
      <w:r w:rsidRPr="009E4CA2">
        <w:rPr>
          <w:rFonts w:ascii="Arial" w:hAnsi="Arial"/>
          <w:sz w:val="20"/>
          <w:szCs w:val="20"/>
        </w:rPr>
        <w:t xml:space="preserve"> Shares </w:t>
      </w:r>
      <w:r>
        <w:rPr>
          <w:rFonts w:ascii="Arial" w:hAnsi="Arial"/>
          <w:sz w:val="20"/>
          <w:szCs w:val="20"/>
        </w:rPr>
        <w:t xml:space="preserve">and Open Offer Shares </w:t>
      </w:r>
      <w:r w:rsidRPr="009E4CA2">
        <w:rPr>
          <w:rFonts w:ascii="Arial" w:hAnsi="Arial"/>
          <w:sz w:val="20"/>
          <w:szCs w:val="20"/>
        </w:rPr>
        <w:t xml:space="preserve">to be admitted to trading on AIM. </w:t>
      </w:r>
      <w:r w:rsidR="00244AB5" w:rsidRPr="00A4413F">
        <w:rPr>
          <w:rFonts w:ascii="Arial" w:hAnsi="Arial" w:cs="Arial"/>
          <w:sz w:val="20"/>
          <w:szCs w:val="20"/>
        </w:rPr>
        <w:t xml:space="preserve">On the assumption that, amongst other things, Resolutions 1 and 2 are passed by Shareholders at the General Meeting, </w:t>
      </w:r>
      <w:r w:rsidR="00244AB5">
        <w:rPr>
          <w:rFonts w:ascii="Arial" w:hAnsi="Arial" w:cs="Arial"/>
          <w:sz w:val="20"/>
          <w:szCs w:val="20"/>
        </w:rPr>
        <w:t>i</w:t>
      </w:r>
      <w:r w:rsidRPr="009E4CA2">
        <w:rPr>
          <w:rFonts w:ascii="Arial" w:hAnsi="Arial"/>
          <w:sz w:val="20"/>
          <w:szCs w:val="20"/>
        </w:rPr>
        <w:t xml:space="preserve">t is expected that </w:t>
      </w:r>
      <w:r>
        <w:rPr>
          <w:rFonts w:ascii="Arial" w:hAnsi="Arial"/>
          <w:sz w:val="20"/>
          <w:szCs w:val="20"/>
        </w:rPr>
        <w:t xml:space="preserve">Second </w:t>
      </w:r>
      <w:r w:rsidRPr="009E4CA2">
        <w:rPr>
          <w:rFonts w:ascii="Arial" w:hAnsi="Arial"/>
          <w:sz w:val="20"/>
          <w:szCs w:val="20"/>
        </w:rPr>
        <w:t xml:space="preserve">Admission will become effective, and that dealings in the Conditional Placing Shares and Open Offer Shares will commence, at 8.00 a.m. on </w:t>
      </w:r>
      <w:r>
        <w:rPr>
          <w:rFonts w:ascii="Arial" w:hAnsi="Arial"/>
          <w:sz w:val="20"/>
          <w:szCs w:val="20"/>
        </w:rPr>
        <w:t>9 January 2019</w:t>
      </w:r>
      <w:r w:rsidRPr="009E4CA2">
        <w:rPr>
          <w:rFonts w:ascii="Arial" w:hAnsi="Arial"/>
          <w:sz w:val="20"/>
          <w:szCs w:val="20"/>
        </w:rPr>
        <w:t>.</w:t>
      </w:r>
    </w:p>
    <w:p w:rsidR="009E4CA2" w:rsidRDefault="009E4CA2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</w:p>
    <w:p w:rsidR="00C94719" w:rsidRDefault="00C94719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  <w:r w:rsidRPr="00C94719">
        <w:rPr>
          <w:rFonts w:ascii="Arial" w:hAnsi="Arial"/>
          <w:sz w:val="20"/>
          <w:szCs w:val="20"/>
        </w:rPr>
        <w:t xml:space="preserve">For the purposes of the FCA's Disclosure Guidance and Transparency Rules (DTR), the Company's total voting rights as from the date of </w:t>
      </w:r>
      <w:r w:rsidR="009E4CA2">
        <w:rPr>
          <w:rFonts w:ascii="Arial" w:hAnsi="Arial"/>
          <w:sz w:val="20"/>
          <w:szCs w:val="20"/>
        </w:rPr>
        <w:t>Second Admission</w:t>
      </w:r>
      <w:r w:rsidRPr="00C94719">
        <w:rPr>
          <w:rFonts w:ascii="Arial" w:hAnsi="Arial"/>
          <w:sz w:val="20"/>
          <w:szCs w:val="20"/>
        </w:rPr>
        <w:t xml:space="preserve"> will be </w:t>
      </w:r>
      <w:r w:rsidR="009E4CA2">
        <w:rPr>
          <w:rFonts w:ascii="Arial" w:hAnsi="Arial"/>
          <w:sz w:val="20"/>
          <w:szCs w:val="20"/>
        </w:rPr>
        <w:t>51,116,436</w:t>
      </w:r>
      <w:r w:rsidRPr="00C94719">
        <w:rPr>
          <w:rFonts w:ascii="Arial" w:hAnsi="Arial"/>
          <w:sz w:val="20"/>
          <w:szCs w:val="20"/>
        </w:rPr>
        <w:t xml:space="preserve"> Ordinary Shares.</w:t>
      </w:r>
    </w:p>
    <w:p w:rsidR="0021674E" w:rsidRPr="0021674E" w:rsidRDefault="0021674E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</w:p>
    <w:p w:rsidR="00E753A4" w:rsidRDefault="00E753A4" w:rsidP="0021674E">
      <w:pPr>
        <w:pStyle w:val="Body"/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Director Participation</w:t>
      </w:r>
    </w:p>
    <w:p w:rsidR="00E753A4" w:rsidRDefault="00E753A4" w:rsidP="0021674E">
      <w:pPr>
        <w:pStyle w:val="Body"/>
        <w:spacing w:after="0"/>
        <w:jc w:val="both"/>
        <w:rPr>
          <w:rFonts w:ascii="Arial" w:hAnsi="Arial"/>
          <w:b/>
          <w:sz w:val="20"/>
          <w:szCs w:val="20"/>
        </w:rPr>
      </w:pPr>
    </w:p>
    <w:p w:rsidR="00E753A4" w:rsidRDefault="00E753A4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Company confirms that the following directors participated in the Open Offer, </w:t>
      </w:r>
      <w:proofErr w:type="spellStart"/>
      <w:r>
        <w:rPr>
          <w:rFonts w:ascii="Arial" w:hAnsi="Arial"/>
          <w:i/>
          <w:sz w:val="20"/>
          <w:szCs w:val="20"/>
        </w:rPr>
        <w:t>pari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passu</w:t>
      </w:r>
      <w:proofErr w:type="spellEnd"/>
      <w:r>
        <w:rPr>
          <w:rFonts w:ascii="Arial" w:hAnsi="Arial"/>
          <w:sz w:val="20"/>
          <w:szCs w:val="20"/>
        </w:rPr>
        <w:t xml:space="preserve"> with other applicants under the Open Offer.</w:t>
      </w:r>
    </w:p>
    <w:p w:rsidR="00BE0F30" w:rsidRDefault="00BE0F30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  <w:gridCol w:w="1483"/>
        <w:gridCol w:w="1483"/>
      </w:tblGrid>
      <w:tr w:rsidR="00BE0F30" w:rsidRPr="00BE0F30" w:rsidTr="00BE0F30">
        <w:tc>
          <w:tcPr>
            <w:tcW w:w="1483" w:type="dxa"/>
          </w:tcPr>
          <w:p w:rsidR="00BE0F30" w:rsidRPr="00BE0F30" w:rsidRDefault="00BE0F30" w:rsidP="00BE0F30">
            <w:pPr>
              <w:pStyle w:val="Body"/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F30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483" w:type="dxa"/>
          </w:tcPr>
          <w:p w:rsidR="00BE0F30" w:rsidRPr="00BE0F30" w:rsidRDefault="00BE0F30" w:rsidP="00BE0F30">
            <w:pPr>
              <w:pStyle w:val="Body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Existing holding of Ordinary Shares </w:t>
            </w:r>
          </w:p>
        </w:tc>
        <w:tc>
          <w:tcPr>
            <w:tcW w:w="1483" w:type="dxa"/>
          </w:tcPr>
          <w:p w:rsidR="00BE0F30" w:rsidRPr="00BE0F30" w:rsidRDefault="00BE0F30" w:rsidP="00BE0F30">
            <w:pPr>
              <w:pStyle w:val="Body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>Total Open Offer Shares applied for under Basic Entitlement</w:t>
            </w:r>
          </w:p>
        </w:tc>
        <w:tc>
          <w:tcPr>
            <w:tcW w:w="1483" w:type="dxa"/>
          </w:tcPr>
          <w:p w:rsidR="00BE0F30" w:rsidRPr="00BE0F30" w:rsidRDefault="00BE0F30" w:rsidP="00BE0F30">
            <w:pPr>
              <w:pStyle w:val="Body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>Total Open Offer Shares applied for under Excess Application Facility</w:t>
            </w:r>
          </w:p>
        </w:tc>
        <w:tc>
          <w:tcPr>
            <w:tcW w:w="1483" w:type="dxa"/>
          </w:tcPr>
          <w:p w:rsidR="00BE0F30" w:rsidRPr="00BE0F30" w:rsidRDefault="00BE0F30" w:rsidP="00244AB5">
            <w:pPr>
              <w:pStyle w:val="Body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Holding </w:t>
            </w:r>
            <w:r w:rsidR="00244A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Ordinary Shares immediately following</w:t>
            </w: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4A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admission of </w:t>
            </w: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4A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>Open Offer</w:t>
            </w:r>
            <w:r w:rsidR="00244A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Shares</w:t>
            </w:r>
          </w:p>
        </w:tc>
        <w:tc>
          <w:tcPr>
            <w:tcW w:w="1483" w:type="dxa"/>
          </w:tcPr>
          <w:p w:rsidR="00BE0F30" w:rsidRPr="00BE0F30" w:rsidRDefault="00BE0F30" w:rsidP="00BE0F30">
            <w:pPr>
              <w:pStyle w:val="Body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F30">
              <w:rPr>
                <w:rFonts w:ascii="Arial" w:hAnsi="Arial" w:cs="Arial"/>
                <w:b/>
                <w:bCs/>
                <w:sz w:val="18"/>
                <w:szCs w:val="18"/>
              </w:rPr>
              <w:t>% of Enlarged Issued Share Capital</w:t>
            </w:r>
          </w:p>
        </w:tc>
      </w:tr>
      <w:tr w:rsidR="00C94719" w:rsidRPr="00BE0F30" w:rsidTr="00D904A0"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Sir Peter Middleton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1483" w:type="dxa"/>
            <w:vAlign w:val="center"/>
          </w:tcPr>
          <w:p w:rsidR="00C94719" w:rsidRPr="00C94719" w:rsidRDefault="00C94719" w:rsidP="00C94719">
            <w:pPr>
              <w:spacing w:beforeLines="40" w:before="96" w:afterLines="40" w:after="9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94719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909 </w:t>
            </w:r>
          </w:p>
        </w:tc>
        <w:tc>
          <w:tcPr>
            <w:tcW w:w="1483" w:type="dxa"/>
            <w:vAlign w:val="center"/>
          </w:tcPr>
          <w:p w:rsidR="00C94719" w:rsidRPr="00C94719" w:rsidRDefault="00895ACE" w:rsidP="00C94719">
            <w:pPr>
              <w:spacing w:beforeLines="40" w:before="96" w:afterLines="40" w:after="9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4</w:t>
            </w:r>
            <w:r w:rsidR="00C94719" w:rsidRPr="00C94719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,091</w:t>
            </w:r>
          </w:p>
        </w:tc>
        <w:tc>
          <w:tcPr>
            <w:tcW w:w="1483" w:type="dxa"/>
            <w:vAlign w:val="center"/>
          </w:tcPr>
          <w:p w:rsidR="00C94719" w:rsidRPr="00C94719" w:rsidRDefault="00895ACE" w:rsidP="00C94719">
            <w:pPr>
              <w:spacing w:beforeLines="40" w:before="96" w:afterLines="40" w:after="9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25</w:t>
            </w:r>
            <w:r w:rsidR="00C94719" w:rsidRPr="00C94719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,000</w:t>
            </w:r>
          </w:p>
        </w:tc>
        <w:tc>
          <w:tcPr>
            <w:tcW w:w="1483" w:type="dxa"/>
            <w:vAlign w:val="center"/>
          </w:tcPr>
          <w:p w:rsidR="00C94719" w:rsidRPr="00BE0F30" w:rsidRDefault="00895ACE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  <w:r w:rsidR="00C947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4719" w:rsidRPr="00BE0F30" w:rsidTr="00D904A0">
        <w:tc>
          <w:tcPr>
            <w:tcW w:w="1483" w:type="dxa"/>
            <w:vAlign w:val="center"/>
          </w:tcPr>
          <w:p w:rsidR="00C94719" w:rsidRPr="00BE0F30" w:rsidRDefault="00895ACE" w:rsidP="00C94719">
            <w:pPr>
              <w:pStyle w:val="Body"/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</w:t>
            </w:r>
            <w:r w:rsidR="00C94719">
              <w:rPr>
                <w:rFonts w:ascii="Arial" w:hAnsi="Arial" w:cs="Arial"/>
                <w:sz w:val="18"/>
                <w:szCs w:val="18"/>
              </w:rPr>
              <w:t xml:space="preserve">lio Cesareo 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3,238,791</w:t>
            </w:r>
          </w:p>
        </w:tc>
        <w:tc>
          <w:tcPr>
            <w:tcW w:w="1483" w:type="dxa"/>
            <w:vAlign w:val="center"/>
          </w:tcPr>
          <w:p w:rsidR="00C94719" w:rsidRPr="00C94719" w:rsidRDefault="00C94719" w:rsidP="00C94719">
            <w:pPr>
              <w:spacing w:beforeLines="40" w:before="96" w:afterLines="40" w:after="9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94719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147,217</w:t>
            </w:r>
          </w:p>
        </w:tc>
        <w:tc>
          <w:tcPr>
            <w:tcW w:w="1483" w:type="dxa"/>
            <w:vAlign w:val="center"/>
          </w:tcPr>
          <w:p w:rsidR="00C94719" w:rsidRPr="00C94719" w:rsidRDefault="00C94719" w:rsidP="00C94719">
            <w:pPr>
              <w:spacing w:beforeLines="40" w:before="96" w:afterLines="40" w:after="9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94719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62,783</w:t>
            </w:r>
          </w:p>
        </w:tc>
        <w:tc>
          <w:tcPr>
            <w:tcW w:w="1483" w:type="dxa"/>
            <w:vAlign w:val="center"/>
          </w:tcPr>
          <w:p w:rsidR="00C94719" w:rsidRPr="00C94719" w:rsidRDefault="00C94719" w:rsidP="00C94719">
            <w:pPr>
              <w:spacing w:beforeLines="40" w:before="96" w:afterLines="40" w:after="96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94719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3,448,791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6.75%</w:t>
            </w:r>
          </w:p>
        </w:tc>
      </w:tr>
      <w:tr w:rsidR="00C94719" w:rsidRPr="00BE0F30" w:rsidTr="00D904A0">
        <w:tc>
          <w:tcPr>
            <w:tcW w:w="1483" w:type="dxa"/>
            <w:vAlign w:val="center"/>
          </w:tcPr>
          <w:p w:rsidR="00C94719" w:rsidRDefault="00C94719" w:rsidP="00C94719">
            <w:pPr>
              <w:spacing w:beforeLines="40" w:before="96" w:afterLines="40" w:after="96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Marco Ferrari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15,666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712 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9,288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25,666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0.05%</w:t>
            </w:r>
          </w:p>
        </w:tc>
      </w:tr>
      <w:tr w:rsidR="00C94719" w:rsidRPr="00BE0F30" w:rsidTr="00D904A0">
        <w:tc>
          <w:tcPr>
            <w:tcW w:w="1483" w:type="dxa"/>
            <w:vAlign w:val="center"/>
          </w:tcPr>
          <w:p w:rsidR="00C94719" w:rsidRDefault="00C94719" w:rsidP="00C94719">
            <w:pPr>
              <w:spacing w:beforeLines="40" w:before="96" w:afterLines="40" w:after="96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David Gann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42,379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1,926 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39,074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83,379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0.16%</w:t>
            </w:r>
          </w:p>
        </w:tc>
      </w:tr>
      <w:tr w:rsidR="00C94719" w:rsidRPr="00BE0F30" w:rsidTr="00D904A0">
        <w:tc>
          <w:tcPr>
            <w:tcW w:w="1483" w:type="dxa"/>
            <w:vAlign w:val="center"/>
          </w:tcPr>
          <w:p w:rsidR="00C94719" w:rsidRDefault="00C94719" w:rsidP="00C94719">
            <w:pPr>
              <w:spacing w:beforeLines="40" w:before="96" w:afterLines="40" w:after="96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Neil Warner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909 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1,091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22,000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0.04%</w:t>
            </w:r>
          </w:p>
        </w:tc>
      </w:tr>
      <w:tr w:rsidR="00C94719" w:rsidRPr="00BE0F30" w:rsidTr="00D904A0">
        <w:tc>
          <w:tcPr>
            <w:tcW w:w="1483" w:type="dxa"/>
            <w:vAlign w:val="center"/>
          </w:tcPr>
          <w:p w:rsidR="00C94719" w:rsidRDefault="00C94719" w:rsidP="00C94719">
            <w:pPr>
              <w:spacing w:beforeLines="40" w:before="96" w:afterLines="40" w:after="96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Richard Hickinbotham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29,000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1,318 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38,682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1483" w:type="dxa"/>
            <w:vAlign w:val="center"/>
          </w:tcPr>
          <w:p w:rsidR="00C94719" w:rsidRPr="00BE0F30" w:rsidRDefault="00C94719" w:rsidP="00C94719">
            <w:pPr>
              <w:pStyle w:val="Body"/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0.13%</w:t>
            </w:r>
          </w:p>
        </w:tc>
      </w:tr>
    </w:tbl>
    <w:p w:rsidR="00E753A4" w:rsidRPr="00E753A4" w:rsidRDefault="00E753A4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</w:p>
    <w:p w:rsidR="0021674E" w:rsidRPr="0021674E" w:rsidRDefault="0021674E" w:rsidP="0021674E">
      <w:pPr>
        <w:pStyle w:val="Body"/>
        <w:spacing w:after="0"/>
        <w:jc w:val="both"/>
        <w:rPr>
          <w:rFonts w:ascii="Arial" w:hAnsi="Arial"/>
          <w:sz w:val="20"/>
          <w:szCs w:val="20"/>
        </w:rPr>
      </w:pPr>
      <w:r w:rsidRPr="0021674E">
        <w:rPr>
          <w:rFonts w:ascii="Arial" w:hAnsi="Arial"/>
          <w:sz w:val="20"/>
          <w:szCs w:val="20"/>
        </w:rPr>
        <w:t xml:space="preserve">Unless otherwise defined herein, capitalised terms used in this announcement shall have the same meanings as defined in the circular sent to shareholders of the Company on </w:t>
      </w:r>
      <w:r>
        <w:rPr>
          <w:rFonts w:ascii="Arial" w:hAnsi="Arial"/>
          <w:sz w:val="20"/>
          <w:szCs w:val="20"/>
        </w:rPr>
        <w:t>13 December 2018</w:t>
      </w:r>
      <w:r w:rsidRPr="0021674E">
        <w:rPr>
          <w:rFonts w:ascii="Arial" w:hAnsi="Arial"/>
          <w:sz w:val="20"/>
          <w:szCs w:val="20"/>
        </w:rPr>
        <w:t>.</w:t>
      </w:r>
    </w:p>
    <w:p w:rsidR="0021674E" w:rsidRDefault="0021674E" w:rsidP="0021674E">
      <w:pPr>
        <w:pStyle w:val="Body"/>
        <w:spacing w:after="0"/>
        <w:jc w:val="both"/>
        <w:rPr>
          <w:rFonts w:ascii="Arial" w:hAnsi="Arial"/>
          <w:b/>
          <w:bCs/>
          <w:sz w:val="20"/>
          <w:szCs w:val="20"/>
        </w:rPr>
      </w:pPr>
    </w:p>
    <w:p w:rsidR="009B7D43" w:rsidRPr="009B7D43" w:rsidRDefault="009B7D43" w:rsidP="0021674E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  <w:r w:rsidRPr="009B7D43">
        <w:rPr>
          <w:rFonts w:ascii="Arial" w:hAnsi="Arial" w:cs="Arial"/>
          <w:sz w:val="20"/>
          <w:szCs w:val="20"/>
        </w:rPr>
        <w:t xml:space="preserve">For further information please visit </w:t>
      </w:r>
      <w:hyperlink r:id="rId7" w:history="1">
        <w:r w:rsidRPr="009B7D43">
          <w:rPr>
            <w:rStyle w:val="Hyperlink"/>
            <w:rFonts w:ascii="Arial" w:hAnsi="Arial" w:cs="Arial"/>
            <w:sz w:val="20"/>
            <w:szCs w:val="20"/>
          </w:rPr>
          <w:t>http://www.directa-plus.com/</w:t>
        </w:r>
      </w:hyperlink>
      <w:r w:rsidRPr="009B7D43">
        <w:rPr>
          <w:rFonts w:ascii="Arial" w:hAnsi="Arial" w:cs="Arial"/>
          <w:sz w:val="20"/>
          <w:szCs w:val="20"/>
        </w:rPr>
        <w:t xml:space="preserve"> or contact:</w:t>
      </w:r>
    </w:p>
    <w:p w:rsidR="009B7D43" w:rsidRPr="009B7D43" w:rsidRDefault="009B7D43" w:rsidP="0021674E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8"/>
        <w:gridCol w:w="2930"/>
      </w:tblGrid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Directa Plus plc</w:t>
            </w: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+39 02 36714458</w:t>
            </w: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Giulio Cesareo, CEO</w:t>
            </w: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Marco Ferrari, CFO</w:t>
            </w: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Cantor Fitzgerald Europe (Nominated Adviser and Joint Broker)</w:t>
            </w: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+44 20 7894 7000</w:t>
            </w: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Rick Thompson, Philip Davies</w:t>
            </w:r>
            <w:r w:rsidR="00712E34">
              <w:rPr>
                <w:rFonts w:ascii="Arial" w:hAnsi="Arial" w:cs="Arial"/>
                <w:sz w:val="20"/>
                <w:szCs w:val="20"/>
              </w:rPr>
              <w:t>,</w:t>
            </w:r>
            <w:r w:rsidRPr="009B7D43">
              <w:rPr>
                <w:rFonts w:ascii="Arial" w:hAnsi="Arial" w:cs="Arial"/>
                <w:sz w:val="20"/>
                <w:szCs w:val="20"/>
              </w:rPr>
              <w:t xml:space="preserve"> Will Goode (Corporate Finance)</w:t>
            </w: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 xml:space="preserve">Caspar Shand </w:t>
            </w:r>
            <w:proofErr w:type="spellStart"/>
            <w:r w:rsidRPr="009B7D43">
              <w:rPr>
                <w:rFonts w:ascii="Arial" w:hAnsi="Arial" w:cs="Arial"/>
                <w:sz w:val="20"/>
                <w:szCs w:val="20"/>
              </w:rPr>
              <w:t>Kydd</w:t>
            </w:r>
            <w:proofErr w:type="spellEnd"/>
            <w:r w:rsidRPr="009B7D43">
              <w:rPr>
                <w:rFonts w:ascii="Arial" w:hAnsi="Arial" w:cs="Arial"/>
                <w:sz w:val="20"/>
                <w:szCs w:val="20"/>
              </w:rPr>
              <w:t xml:space="preserve"> (Sales)</w:t>
            </w: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0" w:type="dxa"/>
          </w:tcPr>
          <w:p w:rsidR="009B7D43" w:rsidRPr="009B7D43" w:rsidRDefault="009B7D43" w:rsidP="0021674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b/>
                <w:sz w:val="20"/>
                <w:szCs w:val="20"/>
              </w:rPr>
              <w:t>N+1 Singer (Joint Broker)</w:t>
            </w:r>
          </w:p>
        </w:tc>
        <w:tc>
          <w:tcPr>
            <w:tcW w:w="2930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+44 20 7496 3069</w:t>
            </w:r>
          </w:p>
        </w:tc>
      </w:tr>
      <w:tr w:rsidR="009B7D43" w:rsidRPr="009B7D43" w:rsidTr="0019398F">
        <w:tc>
          <w:tcPr>
            <w:tcW w:w="5978" w:type="dxa"/>
          </w:tcPr>
          <w:p w:rsidR="007139A9" w:rsidRDefault="009B7D43" w:rsidP="007139A9">
            <w:pPr>
              <w:rPr>
                <w:rFonts w:ascii="Arial" w:hAnsi="Arial" w:cs="Arial"/>
                <w:sz w:val="20"/>
                <w:szCs w:val="20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Mark Taylor, Lauren Kettle</w:t>
            </w:r>
            <w:r w:rsidR="007139A9">
              <w:rPr>
                <w:rFonts w:ascii="Arial" w:hAnsi="Arial" w:cs="Arial"/>
                <w:sz w:val="20"/>
                <w:szCs w:val="20"/>
              </w:rPr>
              <w:t xml:space="preserve"> (Corporate Finance)</w:t>
            </w:r>
          </w:p>
          <w:p w:rsidR="009B7D43" w:rsidRPr="009B7D43" w:rsidRDefault="007139A9" w:rsidP="007139A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Mia Gardner (Corporate Broking)</w:t>
            </w:r>
          </w:p>
        </w:tc>
        <w:tc>
          <w:tcPr>
            <w:tcW w:w="2930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0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B7D43">
              <w:rPr>
                <w:rFonts w:ascii="Arial" w:hAnsi="Arial" w:cs="Arial"/>
                <w:b/>
                <w:sz w:val="20"/>
                <w:szCs w:val="20"/>
              </w:rPr>
              <w:t>Tavistock</w:t>
            </w:r>
            <w:proofErr w:type="spellEnd"/>
            <w:r w:rsidRPr="009B7D43">
              <w:rPr>
                <w:rFonts w:ascii="Arial" w:hAnsi="Arial" w:cs="Arial"/>
                <w:b/>
                <w:sz w:val="20"/>
                <w:szCs w:val="20"/>
              </w:rPr>
              <w:t xml:space="preserve"> (Financial PR and IR)</w:t>
            </w:r>
          </w:p>
        </w:tc>
        <w:tc>
          <w:tcPr>
            <w:tcW w:w="2930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+44 20 7920 3150</w:t>
            </w:r>
          </w:p>
        </w:tc>
      </w:tr>
      <w:tr w:rsidR="009B7D43" w:rsidRPr="009B7D43" w:rsidTr="0019398F">
        <w:tc>
          <w:tcPr>
            <w:tcW w:w="5978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7D43">
              <w:rPr>
                <w:rFonts w:ascii="Arial" w:hAnsi="Arial" w:cs="Arial"/>
                <w:sz w:val="20"/>
                <w:szCs w:val="20"/>
              </w:rPr>
              <w:t>Simon Hudson, Sophie Praill, Edward Lee</w:t>
            </w:r>
          </w:p>
        </w:tc>
        <w:tc>
          <w:tcPr>
            <w:tcW w:w="2930" w:type="dxa"/>
          </w:tcPr>
          <w:p w:rsidR="009B7D43" w:rsidRPr="009B7D43" w:rsidRDefault="009B7D43" w:rsidP="000E431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B7D43" w:rsidRPr="009B7D43" w:rsidRDefault="009B7D43" w:rsidP="009B7D43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</w:p>
    <w:p w:rsidR="009B7D43" w:rsidRPr="009B7D43" w:rsidRDefault="009B7D43" w:rsidP="009B7D43">
      <w:pPr>
        <w:spacing w:after="270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9B7D43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About Directa Plus</w:t>
      </w:r>
    </w:p>
    <w:p w:rsidR="009B7D43" w:rsidRPr="009B7D43" w:rsidRDefault="009B7D43" w:rsidP="009B7D43">
      <w:pPr>
        <w:widowControl w:val="0"/>
        <w:ind w:right="1"/>
        <w:jc w:val="both"/>
        <w:rPr>
          <w:rFonts w:ascii="Arial" w:hAnsi="Arial" w:cs="Arial"/>
          <w:sz w:val="20"/>
          <w:szCs w:val="20"/>
        </w:rPr>
      </w:pPr>
      <w:r w:rsidRPr="009B7D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Directa Plus is principally focused on the two sectors in which it has a strong commercial advantage through developed and launched products and a technological lead: environmental (based on our Grafysorber® product) and textiles (based on our G+ products).  In addition, the Company will continue to pursue opportunities in elastomers and composites (including </w:t>
      </w:r>
      <w:proofErr w:type="spellStart"/>
      <w:r w:rsidRPr="009B7D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tyres</w:t>
      </w:r>
      <w:proofErr w:type="spellEnd"/>
      <w:r w:rsidRPr="009B7D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and asphalt), also using G+ products.  All Directa Plus products are hypoallergenic, non-toxic and sustainably produced.</w:t>
      </w:r>
      <w:r w:rsidRPr="009B7D43" w:rsidDel="002A62A6">
        <w:rPr>
          <w:rFonts w:ascii="Arial" w:hAnsi="Arial" w:cs="Arial"/>
          <w:sz w:val="20"/>
          <w:szCs w:val="20"/>
        </w:rPr>
        <w:t xml:space="preserve"> </w:t>
      </w:r>
    </w:p>
    <w:p w:rsidR="00F67268" w:rsidRPr="001A0A8F" w:rsidRDefault="00F67268">
      <w:pPr>
        <w:pStyle w:val="Style1"/>
        <w:spacing w:before="0" w:after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F67268" w:rsidRPr="001A0A8F" w:rsidRDefault="00303675">
      <w:pPr>
        <w:pStyle w:val="Body"/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1A0A8F">
        <w:rPr>
          <w:rFonts w:ascii="Arial" w:hAnsi="Arial"/>
          <w:i/>
          <w:iCs/>
          <w:sz w:val="20"/>
          <w:szCs w:val="20"/>
        </w:rPr>
        <w:t xml:space="preserve">The person responsible for arranging the release of this </w:t>
      </w:r>
      <w:r w:rsidR="00642EF8">
        <w:rPr>
          <w:rFonts w:ascii="Arial" w:hAnsi="Arial"/>
          <w:i/>
          <w:iCs/>
          <w:sz w:val="20"/>
          <w:szCs w:val="20"/>
        </w:rPr>
        <w:t>a</w:t>
      </w:r>
      <w:r w:rsidR="0019268F" w:rsidRPr="001A0A8F">
        <w:rPr>
          <w:rFonts w:ascii="Arial" w:hAnsi="Arial"/>
          <w:i/>
          <w:iCs/>
          <w:sz w:val="20"/>
          <w:szCs w:val="20"/>
        </w:rPr>
        <w:t xml:space="preserve">nnouncement </w:t>
      </w:r>
      <w:r w:rsidRPr="001A0A8F">
        <w:rPr>
          <w:rFonts w:ascii="Arial" w:hAnsi="Arial"/>
          <w:i/>
          <w:iCs/>
          <w:sz w:val="20"/>
          <w:szCs w:val="20"/>
        </w:rPr>
        <w:t xml:space="preserve">on behalf of </w:t>
      </w:r>
      <w:r w:rsidR="00C05A4C">
        <w:rPr>
          <w:rFonts w:ascii="Arial" w:hAnsi="Arial"/>
          <w:i/>
          <w:iCs/>
          <w:sz w:val="20"/>
          <w:szCs w:val="20"/>
        </w:rPr>
        <w:t>Directa Plus</w:t>
      </w:r>
      <w:r w:rsidRPr="001A0A8F">
        <w:rPr>
          <w:rFonts w:ascii="Arial" w:hAnsi="Arial"/>
          <w:i/>
          <w:iCs/>
          <w:sz w:val="20"/>
          <w:szCs w:val="20"/>
        </w:rPr>
        <w:t xml:space="preserve"> is </w:t>
      </w:r>
      <w:r w:rsidR="009B7D43">
        <w:rPr>
          <w:rFonts w:ascii="Arial" w:hAnsi="Arial"/>
          <w:i/>
          <w:iCs/>
          <w:sz w:val="20"/>
          <w:szCs w:val="20"/>
        </w:rPr>
        <w:t>Marco Ferrari</w:t>
      </w:r>
      <w:r w:rsidRPr="001A0A8F">
        <w:rPr>
          <w:rFonts w:ascii="Arial" w:hAnsi="Arial"/>
          <w:i/>
          <w:iCs/>
          <w:sz w:val="20"/>
          <w:szCs w:val="20"/>
        </w:rPr>
        <w:t>, Chief Financial Officer.</w:t>
      </w:r>
    </w:p>
    <w:p w:rsidR="00F67268" w:rsidRDefault="00F67268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p w:rsidR="00D6325A" w:rsidRDefault="00D6325A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p w:rsidR="00C94719" w:rsidRDefault="00C94719" w:rsidP="00C947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below announcement and notification is made in accordance with the EU Market Abuse Regulation.  The form required under the EU Market Abuse Regulation follows.</w:t>
      </w:r>
    </w:p>
    <w:p w:rsidR="004E46B9" w:rsidRDefault="004E46B9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tbl>
      <w:tblPr>
        <w:tblW w:w="906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29"/>
        <w:gridCol w:w="6427"/>
      </w:tblGrid>
      <w:tr w:rsidR="00C94719" w:rsidRPr="00C94719" w:rsidTr="00D904A0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person discharging managerial responsibilities / person closely associated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EC2CFD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 Peter Middleton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the notification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Position/status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Non-Executive </w:t>
            </w:r>
            <w:r w:rsidR="00EC2C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Chairman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  / Amendment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issuer, emission allowance market participant, auction platform, auctioneer or auction monitor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EC2CFD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 Plus plc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44221C" w:rsidP="0044221C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2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213800X2DQST3K5ND898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the financial instrument, type of instrument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code: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94719" w:rsidRPr="00C94719" w:rsidRDefault="00C94719" w:rsidP="00C94719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ISIN: </w:t>
            </w:r>
            <w:r w:rsidR="004422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GB00BSM98843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of the transaction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of shares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pursuant to the Open Offer</w:t>
            </w:r>
          </w:p>
        </w:tc>
      </w:tr>
      <w:tr w:rsidR="00C94719" w:rsidRPr="00C94719" w:rsidTr="00D904A0">
        <w:trPr>
          <w:trHeight w:val="52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Price(s) and volume(s)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Default="00C94719" w:rsidP="00C94719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pence</w:t>
            </w:r>
          </w:p>
          <w:p w:rsidR="00C94719" w:rsidRPr="00C94719" w:rsidRDefault="00895ACE" w:rsidP="00C94719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7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,000 </w:t>
            </w:r>
            <w:r w:rsid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 Shares of 0.25 pence</w:t>
            </w:r>
            <w:r w:rsidR="00C94719"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C94719" w:rsidRPr="00C94719" w:rsidTr="00D904A0">
        <w:trPr>
          <w:trHeight w:val="93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Aggregated information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94719" w:rsidRPr="00C94719" w:rsidRDefault="00895ACE" w:rsidP="00C94719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</w:t>
            </w:r>
            <w:r w:rsidR="00377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 Shares of 0.25 pence</w:t>
            </w:r>
            <w:r w:rsidR="00C94719"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C94719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January 2019</w:t>
            </w:r>
          </w:p>
        </w:tc>
      </w:tr>
      <w:tr w:rsidR="00C94719" w:rsidRPr="00C94719" w:rsidTr="00D904A0">
        <w:trPr>
          <w:trHeight w:val="4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19" w:rsidRPr="00C94719" w:rsidRDefault="00C94719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Stock Exchange</w:t>
            </w:r>
          </w:p>
        </w:tc>
      </w:tr>
    </w:tbl>
    <w:p w:rsidR="00C94719" w:rsidRDefault="00C94719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tbl>
      <w:tblPr>
        <w:tblW w:w="906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29"/>
        <w:gridCol w:w="6427"/>
      </w:tblGrid>
      <w:tr w:rsidR="0037741A" w:rsidRPr="00C94719" w:rsidTr="00D904A0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person discharging managerial responsibilities / person closely associated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895ACE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5A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Giulio Cesareo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the notification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Position/status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Executive Officer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  / Amendment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issuer, emission allowance market participant, auction platform, auctioneer or auction monitor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 Plus plc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2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213800X2DQST3K5ND898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Details of the transaction(s): section to be repeated for (i) each type of instrument; (ii) each type of transaction; (iii) each date; and (iv) each place where transactions have </w:t>
            </w: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been conducted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the financial instrument, type of instrument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code: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ISIN: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GB00BSM98843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of the transaction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of shares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pursuant to the Open Offer</w:t>
            </w:r>
          </w:p>
        </w:tc>
      </w:tr>
      <w:tr w:rsidR="0037741A" w:rsidRPr="00C94719" w:rsidTr="00D904A0">
        <w:trPr>
          <w:trHeight w:val="52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Price(s) and volume(s)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pence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37741A" w:rsidRPr="00C94719" w:rsidTr="00D904A0">
        <w:trPr>
          <w:trHeight w:val="93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Aggregated information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January 2019</w:t>
            </w:r>
          </w:p>
        </w:tc>
      </w:tr>
      <w:tr w:rsidR="0037741A" w:rsidRPr="00C94719" w:rsidTr="00D904A0">
        <w:trPr>
          <w:trHeight w:val="4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Stock Exchange</w:t>
            </w:r>
          </w:p>
        </w:tc>
      </w:tr>
    </w:tbl>
    <w:p w:rsidR="0037741A" w:rsidRDefault="0037741A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tbl>
      <w:tblPr>
        <w:tblW w:w="906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29"/>
        <w:gridCol w:w="6427"/>
      </w:tblGrid>
      <w:tr w:rsidR="0037741A" w:rsidRPr="00C94719" w:rsidTr="00D904A0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person discharging managerial responsibilities / person closely associated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 Ferrari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the notification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Position/status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37741A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Financial Officer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  / Amendment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issuer, emission allowance market participant, auction platform, auctioneer or auction monitor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 Plus plc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2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213800X2DQST3K5ND898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the financial instrument, type of instrument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code: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ISIN: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GB00BSM98843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Nature of the 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transaction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Purchase of shares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pursuant to the Open Offer</w:t>
            </w:r>
          </w:p>
        </w:tc>
      </w:tr>
      <w:tr w:rsidR="0037741A" w:rsidRPr="00C94719" w:rsidTr="00D904A0">
        <w:trPr>
          <w:trHeight w:val="52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Price(s) and volume(s)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pence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37741A" w:rsidRPr="00C94719" w:rsidTr="00D904A0">
        <w:trPr>
          <w:trHeight w:val="93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Aggregated information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37741A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January 2019</w:t>
            </w:r>
          </w:p>
        </w:tc>
      </w:tr>
      <w:tr w:rsidR="0037741A" w:rsidRPr="00C94719" w:rsidTr="00D904A0">
        <w:trPr>
          <w:trHeight w:val="4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41A" w:rsidRPr="00C94719" w:rsidRDefault="0037741A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Stock Exchange</w:t>
            </w:r>
          </w:p>
        </w:tc>
      </w:tr>
    </w:tbl>
    <w:p w:rsidR="0037741A" w:rsidRDefault="0037741A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tbl>
      <w:tblPr>
        <w:tblW w:w="906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29"/>
        <w:gridCol w:w="6427"/>
      </w:tblGrid>
      <w:tr w:rsidR="00D904A0" w:rsidRPr="00C94719" w:rsidTr="00D904A0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person discharging managerial responsibilities / person closely associated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Gann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the notification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Position/status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Non-Executive Director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  / Amendment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issuer, emission allowance market participant, auction platform, auctioneer or auction monitor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 Plus plc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2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213800X2DQST3K5ND898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the financial instrument, type of instrument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code: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ISIN: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GB00BSM98843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of the transaction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of shares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pursuant to the Open Offer</w:t>
            </w:r>
          </w:p>
        </w:tc>
      </w:tr>
      <w:tr w:rsidR="00D904A0" w:rsidRPr="00C94719" w:rsidTr="00D904A0">
        <w:trPr>
          <w:trHeight w:val="52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Price(s) and volume(s)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pence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D904A0" w:rsidRPr="00C94719" w:rsidTr="00D904A0">
        <w:trPr>
          <w:trHeight w:val="93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Aggregated information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January 2019</w:t>
            </w:r>
          </w:p>
        </w:tc>
      </w:tr>
      <w:tr w:rsidR="00D904A0" w:rsidRPr="00C94719" w:rsidTr="00D904A0">
        <w:trPr>
          <w:trHeight w:val="4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Stock Exchange</w:t>
            </w:r>
          </w:p>
        </w:tc>
      </w:tr>
    </w:tbl>
    <w:p w:rsidR="00D904A0" w:rsidRDefault="00D904A0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tbl>
      <w:tblPr>
        <w:tblW w:w="906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29"/>
        <w:gridCol w:w="6427"/>
      </w:tblGrid>
      <w:tr w:rsidR="00D904A0" w:rsidRPr="00C94719" w:rsidTr="00D904A0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person discharging managerial responsibilities / person closely associated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 Warner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the notification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Position/status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Non-Executive Director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  / Amendment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issuer, emission allowance market participant, auction platform, auctioneer or auction monitor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 Plus plc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2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213800X2DQST3K5ND898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the financial instrument, type of instrument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code: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ISIN: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GB00BSM98843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of the transaction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of shares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pursuant to the Open Offer</w:t>
            </w:r>
          </w:p>
        </w:tc>
      </w:tr>
      <w:tr w:rsidR="00D904A0" w:rsidRPr="00C94719" w:rsidTr="00D904A0">
        <w:trPr>
          <w:trHeight w:val="52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Price(s) and volume(s)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pence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D904A0" w:rsidRPr="00C94719" w:rsidTr="00D904A0">
        <w:trPr>
          <w:trHeight w:val="93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Aggregated information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January 2019</w:t>
            </w:r>
          </w:p>
        </w:tc>
      </w:tr>
      <w:tr w:rsidR="00D904A0" w:rsidRPr="00C94719" w:rsidTr="00D904A0">
        <w:trPr>
          <w:trHeight w:val="4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Stock Exchange</w:t>
            </w:r>
          </w:p>
        </w:tc>
      </w:tr>
    </w:tbl>
    <w:p w:rsidR="00D904A0" w:rsidRDefault="00D904A0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tbl>
      <w:tblPr>
        <w:tblW w:w="906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29"/>
        <w:gridCol w:w="6427"/>
      </w:tblGrid>
      <w:tr w:rsidR="00D904A0" w:rsidRPr="00C94719" w:rsidTr="00D904A0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person discharging managerial responsibilities / person closely associated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Hickinbotham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the notification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Position/status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Non-Executive Director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  / Amendment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Notification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issuer, emission allowance market participant, auction platform, auctioneer or auction monitor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 Plus plc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2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213800X2DQST3K5ND898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the financial instrument, type of instrument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code: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ISIN: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GB00BSM98843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of the transaction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of shares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pursuant to the Open Offer</w:t>
            </w:r>
          </w:p>
        </w:tc>
      </w:tr>
      <w:tr w:rsidR="00D904A0" w:rsidRPr="00C94719" w:rsidTr="00D904A0">
        <w:trPr>
          <w:trHeight w:val="52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Price(s) and volume(s)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pence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D904A0" w:rsidRPr="00C94719" w:rsidTr="00D904A0">
        <w:trPr>
          <w:trHeight w:val="938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Aggregated information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 Ordinary Shares of 0.25 pence</w:t>
            </w: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D904A0" w:rsidRPr="00C94719" w:rsidTr="00D904A0"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</w:t>
            </w:r>
          </w:p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January 2019</w:t>
            </w:r>
          </w:p>
        </w:tc>
      </w:tr>
      <w:tr w:rsidR="00D904A0" w:rsidRPr="00C94719" w:rsidTr="00D904A0">
        <w:trPr>
          <w:trHeight w:val="4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of the transaction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4A0" w:rsidRPr="00C94719" w:rsidRDefault="00D904A0" w:rsidP="00D904A0">
            <w:pPr>
              <w:spacing w:after="100" w:afterAutospacing="1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4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Stock Exchange</w:t>
            </w:r>
          </w:p>
        </w:tc>
      </w:tr>
    </w:tbl>
    <w:p w:rsidR="00D904A0" w:rsidRPr="0021674E" w:rsidRDefault="00D904A0" w:rsidP="0021674E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zh-CN"/>
        </w:rPr>
      </w:pPr>
    </w:p>
    <w:sectPr w:rsidR="00D904A0" w:rsidRPr="0021674E" w:rsidSect="008F3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2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A0" w:rsidRDefault="00D904A0">
      <w:r>
        <w:separator/>
      </w:r>
    </w:p>
  </w:endnote>
  <w:endnote w:type="continuationSeparator" w:id="0">
    <w:p w:rsidR="00D904A0" w:rsidRDefault="00D904A0">
      <w:r>
        <w:continuationSeparator/>
      </w:r>
    </w:p>
  </w:endnote>
  <w:endnote w:type="continuationNotice" w:id="1">
    <w:p w:rsidR="00D904A0" w:rsidRDefault="00D90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5" w:rsidRDefault="00863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273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4A0" w:rsidRDefault="00D90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4A0" w:rsidRDefault="00D90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5" w:rsidRDefault="0086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A0" w:rsidRDefault="00D904A0">
      <w:r>
        <w:separator/>
      </w:r>
    </w:p>
  </w:footnote>
  <w:footnote w:type="continuationSeparator" w:id="0">
    <w:p w:rsidR="00D904A0" w:rsidRDefault="00D904A0">
      <w:r>
        <w:continuationSeparator/>
      </w:r>
    </w:p>
  </w:footnote>
  <w:footnote w:type="continuationNotice" w:id="1">
    <w:p w:rsidR="00D904A0" w:rsidRDefault="00D90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5" w:rsidRDefault="00863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5" w:rsidRDefault="00863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5" w:rsidRDefault="00863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5pt;height:45pt" o:bullet="t">
        <v:imagedata r:id="rId1" o:title="art42"/>
      </v:shape>
    </w:pict>
  </w:numPicBullet>
  <w:abstractNum w:abstractNumId="0" w15:restartNumberingAfterBreak="0">
    <w:nsid w:val="005A229B"/>
    <w:multiLevelType w:val="hybridMultilevel"/>
    <w:tmpl w:val="814A68C0"/>
    <w:styleLink w:val="ImportedStyle6"/>
    <w:lvl w:ilvl="0" w:tplc="F216FFD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6A78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702080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C8342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4C195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12A31A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814B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8E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E5946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4850D5"/>
    <w:multiLevelType w:val="hybridMultilevel"/>
    <w:tmpl w:val="6CEC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0D65"/>
    <w:multiLevelType w:val="hybridMultilevel"/>
    <w:tmpl w:val="09D213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1BED"/>
    <w:multiLevelType w:val="hybridMultilevel"/>
    <w:tmpl w:val="01F6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1895"/>
    <w:multiLevelType w:val="multilevel"/>
    <w:tmpl w:val="0F2A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78045C"/>
    <w:multiLevelType w:val="multilevel"/>
    <w:tmpl w:val="9B8CE218"/>
    <w:numStyleLink w:val="ImportedStyle7"/>
  </w:abstractNum>
  <w:abstractNum w:abstractNumId="6" w15:restartNumberingAfterBreak="0">
    <w:nsid w:val="1CDA1B8F"/>
    <w:multiLevelType w:val="hybridMultilevel"/>
    <w:tmpl w:val="08260842"/>
    <w:numStyleLink w:val="ImportedStyle5"/>
  </w:abstractNum>
  <w:abstractNum w:abstractNumId="7" w15:restartNumberingAfterBreak="0">
    <w:nsid w:val="201A4DDB"/>
    <w:multiLevelType w:val="hybridMultilevel"/>
    <w:tmpl w:val="08260842"/>
    <w:styleLink w:val="ImportedStyle5"/>
    <w:lvl w:ilvl="0" w:tplc="36744F96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9A05D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9AD6EE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B4D2A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503A0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D4034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8AFE7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EA2DD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2C5DF2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983C9F"/>
    <w:multiLevelType w:val="hybridMultilevel"/>
    <w:tmpl w:val="C00C39D4"/>
    <w:styleLink w:val="ImportedStyle3"/>
    <w:lvl w:ilvl="0" w:tplc="043603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419C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B2895A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C0286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FAE82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45B90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08A1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61A2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83974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575619"/>
    <w:multiLevelType w:val="hybridMultilevel"/>
    <w:tmpl w:val="2A789B9A"/>
    <w:numStyleLink w:val="ImportedStyle1"/>
  </w:abstractNum>
  <w:abstractNum w:abstractNumId="10" w15:restartNumberingAfterBreak="0">
    <w:nsid w:val="2F330621"/>
    <w:multiLevelType w:val="hybridMultilevel"/>
    <w:tmpl w:val="35E03A60"/>
    <w:numStyleLink w:val="ImportedStyle2"/>
  </w:abstractNum>
  <w:abstractNum w:abstractNumId="11" w15:restartNumberingAfterBreak="0">
    <w:nsid w:val="3D971204"/>
    <w:multiLevelType w:val="hybridMultilevel"/>
    <w:tmpl w:val="814A68C0"/>
    <w:numStyleLink w:val="ImportedStyle6"/>
  </w:abstractNum>
  <w:abstractNum w:abstractNumId="12" w15:restartNumberingAfterBreak="0">
    <w:nsid w:val="4E8F1BD7"/>
    <w:multiLevelType w:val="hybridMultilevel"/>
    <w:tmpl w:val="B4E43FD8"/>
    <w:numStyleLink w:val="ImportedStyle4"/>
  </w:abstractNum>
  <w:abstractNum w:abstractNumId="13" w15:restartNumberingAfterBreak="0">
    <w:nsid w:val="575A5031"/>
    <w:multiLevelType w:val="hybridMultilevel"/>
    <w:tmpl w:val="71F89D1C"/>
    <w:lvl w:ilvl="0" w:tplc="729E7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D6E9F"/>
    <w:multiLevelType w:val="multilevel"/>
    <w:tmpl w:val="9B8CE218"/>
    <w:styleLink w:val="ImportedStyle7"/>
    <w:lvl w:ilvl="0">
      <w:start w:val="1"/>
      <w:numFmt w:val="decimal"/>
      <w:lvlText w:val="%1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64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F4F1FA3"/>
    <w:multiLevelType w:val="hybridMultilevel"/>
    <w:tmpl w:val="B4E43FD8"/>
    <w:styleLink w:val="ImportedStyle4"/>
    <w:lvl w:ilvl="0" w:tplc="CE40260A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D2A2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667C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06C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043F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C8B12A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48B5F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ED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E7F2C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abstractNum w:abstractNumId="17" w15:restartNumberingAfterBreak="0">
    <w:nsid w:val="67C81F55"/>
    <w:multiLevelType w:val="hybridMultilevel"/>
    <w:tmpl w:val="C00C39D4"/>
    <w:numStyleLink w:val="ImportedStyle3"/>
  </w:abstractNum>
  <w:abstractNum w:abstractNumId="18" w15:restartNumberingAfterBreak="0">
    <w:nsid w:val="70832DA9"/>
    <w:multiLevelType w:val="hybridMultilevel"/>
    <w:tmpl w:val="E71CCB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7D60"/>
    <w:multiLevelType w:val="hybridMultilevel"/>
    <w:tmpl w:val="2A789B9A"/>
    <w:styleLink w:val="ImportedStyle1"/>
    <w:lvl w:ilvl="0" w:tplc="0F42B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E2E8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FA3D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A48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E827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49E8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7405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94FFE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485E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545197E"/>
    <w:multiLevelType w:val="hybridMultilevel"/>
    <w:tmpl w:val="35E03A60"/>
    <w:styleLink w:val="ImportedStyle2"/>
    <w:lvl w:ilvl="0" w:tplc="BDA2904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2C6C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D64BBE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C626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BA09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4ADF64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A7E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A55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EC9CD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CC5E88"/>
    <w:multiLevelType w:val="multilevel"/>
    <w:tmpl w:val="02FA8398"/>
    <w:numStyleLink w:val="NumbListLegal"/>
  </w:abstractNum>
  <w:num w:numId="1">
    <w:abstractNumId w:val="19"/>
  </w:num>
  <w:num w:numId="2">
    <w:abstractNumId w:val="9"/>
  </w:num>
  <w:num w:numId="3">
    <w:abstractNumId w:val="20"/>
  </w:num>
  <w:num w:numId="4">
    <w:abstractNumId w:val="10"/>
  </w:num>
  <w:num w:numId="5">
    <w:abstractNumId w:val="8"/>
  </w:num>
  <w:num w:numId="6">
    <w:abstractNumId w:val="17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11"/>
    <w:lvlOverride w:ilvl="0">
      <w:startOverride w:val="17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FFWLevel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FFWLevel4"/>
        <w:lvlText w:val="(%4)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4">
      <w:lvl w:ilvl="4">
        <w:start w:val="1"/>
        <w:numFmt w:val="lowerRoman"/>
        <w:pStyle w:val="FFWLevel5"/>
        <w:lvlText w:val="(%5)"/>
        <w:lvlJc w:val="left"/>
        <w:pPr>
          <w:tabs>
            <w:tab w:val="num" w:pos="2381"/>
          </w:tabs>
          <w:ind w:left="2381" w:hanging="793"/>
        </w:pPr>
        <w:rPr>
          <w:rFonts w:hint="default"/>
        </w:rPr>
      </w:lvl>
    </w:lvlOverride>
    <w:lvlOverride w:ilvl="5">
      <w:lvl w:ilvl="5">
        <w:start w:val="1"/>
        <w:numFmt w:val="upperLetter"/>
        <w:pStyle w:val="FFWLevel6"/>
        <w:lvlText w:val="(%6)"/>
        <w:lvlJc w:val="left"/>
        <w:pPr>
          <w:tabs>
            <w:tab w:val="num" w:pos="3175"/>
          </w:tabs>
          <w:ind w:left="3175" w:hanging="79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175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175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175" w:firstLine="0"/>
        </w:pPr>
        <w:rPr>
          <w:rFonts w:hint="default"/>
        </w:rPr>
      </w:lvl>
    </w:lvlOverride>
  </w:num>
  <w:num w:numId="20">
    <w:abstractNumId w:val="2"/>
  </w:num>
  <w:num w:numId="21">
    <w:abstractNumId w:val="1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NeedToUniquify" w:val="false"/>
    <w:docVar w:name="APWAFVersion" w:val="5.0"/>
  </w:docVars>
  <w:rsids>
    <w:rsidRoot w:val="00F67268"/>
    <w:rsid w:val="0001073F"/>
    <w:rsid w:val="00032507"/>
    <w:rsid w:val="00056D5F"/>
    <w:rsid w:val="00073BFB"/>
    <w:rsid w:val="000C521E"/>
    <w:rsid w:val="000D4C8E"/>
    <w:rsid w:val="000E4314"/>
    <w:rsid w:val="001135AF"/>
    <w:rsid w:val="001144A5"/>
    <w:rsid w:val="00124AAE"/>
    <w:rsid w:val="001514C5"/>
    <w:rsid w:val="00157245"/>
    <w:rsid w:val="00162528"/>
    <w:rsid w:val="0017205C"/>
    <w:rsid w:val="001919C8"/>
    <w:rsid w:val="0019268F"/>
    <w:rsid w:val="0019398F"/>
    <w:rsid w:val="001A0576"/>
    <w:rsid w:val="001A0A8F"/>
    <w:rsid w:val="001D5317"/>
    <w:rsid w:val="002052CB"/>
    <w:rsid w:val="00206328"/>
    <w:rsid w:val="00215E7F"/>
    <w:rsid w:val="0021674E"/>
    <w:rsid w:val="00231D18"/>
    <w:rsid w:val="00244AB5"/>
    <w:rsid w:val="00245D89"/>
    <w:rsid w:val="00257404"/>
    <w:rsid w:val="00266140"/>
    <w:rsid w:val="002B2C20"/>
    <w:rsid w:val="002B5EF9"/>
    <w:rsid w:val="002D40E8"/>
    <w:rsid w:val="002E0FBC"/>
    <w:rsid w:val="002F6C9E"/>
    <w:rsid w:val="003006A5"/>
    <w:rsid w:val="00303675"/>
    <w:rsid w:val="003052D7"/>
    <w:rsid w:val="00313E78"/>
    <w:rsid w:val="00315780"/>
    <w:rsid w:val="00317AB3"/>
    <w:rsid w:val="00347A40"/>
    <w:rsid w:val="00347B33"/>
    <w:rsid w:val="0037225D"/>
    <w:rsid w:val="00372B09"/>
    <w:rsid w:val="0037741A"/>
    <w:rsid w:val="003B5DC2"/>
    <w:rsid w:val="003D7971"/>
    <w:rsid w:val="003E2A2A"/>
    <w:rsid w:val="003F2CF0"/>
    <w:rsid w:val="00407B10"/>
    <w:rsid w:val="0044221C"/>
    <w:rsid w:val="00457D34"/>
    <w:rsid w:val="00487E86"/>
    <w:rsid w:val="004B1C79"/>
    <w:rsid w:val="004C006F"/>
    <w:rsid w:val="004D5F84"/>
    <w:rsid w:val="004E2187"/>
    <w:rsid w:val="004E46B9"/>
    <w:rsid w:val="004F30F3"/>
    <w:rsid w:val="004F346C"/>
    <w:rsid w:val="0050204A"/>
    <w:rsid w:val="00504FDB"/>
    <w:rsid w:val="00522F3D"/>
    <w:rsid w:val="00527AAA"/>
    <w:rsid w:val="005426EB"/>
    <w:rsid w:val="00550643"/>
    <w:rsid w:val="005622B6"/>
    <w:rsid w:val="0059762F"/>
    <w:rsid w:val="005A556A"/>
    <w:rsid w:val="005C5D36"/>
    <w:rsid w:val="005F744D"/>
    <w:rsid w:val="00610384"/>
    <w:rsid w:val="00642EF8"/>
    <w:rsid w:val="00645693"/>
    <w:rsid w:val="00660082"/>
    <w:rsid w:val="00660354"/>
    <w:rsid w:val="006714B2"/>
    <w:rsid w:val="00686B6A"/>
    <w:rsid w:val="006915D5"/>
    <w:rsid w:val="006C0FB2"/>
    <w:rsid w:val="006C6389"/>
    <w:rsid w:val="0070113F"/>
    <w:rsid w:val="00706CDF"/>
    <w:rsid w:val="00712E34"/>
    <w:rsid w:val="007139A9"/>
    <w:rsid w:val="00720398"/>
    <w:rsid w:val="00734DDD"/>
    <w:rsid w:val="00780B24"/>
    <w:rsid w:val="007A677E"/>
    <w:rsid w:val="007E7988"/>
    <w:rsid w:val="007F6F9B"/>
    <w:rsid w:val="008126AF"/>
    <w:rsid w:val="0081284A"/>
    <w:rsid w:val="008276BA"/>
    <w:rsid w:val="008358C1"/>
    <w:rsid w:val="00857CC4"/>
    <w:rsid w:val="00863675"/>
    <w:rsid w:val="008727E5"/>
    <w:rsid w:val="00895ACE"/>
    <w:rsid w:val="00897D54"/>
    <w:rsid w:val="008C3360"/>
    <w:rsid w:val="008F3D8E"/>
    <w:rsid w:val="00900A6E"/>
    <w:rsid w:val="0092443F"/>
    <w:rsid w:val="00924AF1"/>
    <w:rsid w:val="009352EB"/>
    <w:rsid w:val="009444DC"/>
    <w:rsid w:val="00973D8E"/>
    <w:rsid w:val="00987B95"/>
    <w:rsid w:val="00991DCA"/>
    <w:rsid w:val="009B7D43"/>
    <w:rsid w:val="009C5FBE"/>
    <w:rsid w:val="009C6FF5"/>
    <w:rsid w:val="009E4CA2"/>
    <w:rsid w:val="009F65EC"/>
    <w:rsid w:val="00A11561"/>
    <w:rsid w:val="00A11B72"/>
    <w:rsid w:val="00A74465"/>
    <w:rsid w:val="00A775B9"/>
    <w:rsid w:val="00A878F8"/>
    <w:rsid w:val="00AD4541"/>
    <w:rsid w:val="00AE0B68"/>
    <w:rsid w:val="00B61A1E"/>
    <w:rsid w:val="00B86B6E"/>
    <w:rsid w:val="00BA10AC"/>
    <w:rsid w:val="00BB00A8"/>
    <w:rsid w:val="00BB0CD5"/>
    <w:rsid w:val="00BC46E0"/>
    <w:rsid w:val="00BC5E4C"/>
    <w:rsid w:val="00BD5803"/>
    <w:rsid w:val="00BE0F30"/>
    <w:rsid w:val="00BF06CC"/>
    <w:rsid w:val="00C05A4C"/>
    <w:rsid w:val="00C17BCE"/>
    <w:rsid w:val="00C2371A"/>
    <w:rsid w:val="00C45B57"/>
    <w:rsid w:val="00C94719"/>
    <w:rsid w:val="00CA4FCE"/>
    <w:rsid w:val="00CA538C"/>
    <w:rsid w:val="00CC56A0"/>
    <w:rsid w:val="00CC63B6"/>
    <w:rsid w:val="00CD0528"/>
    <w:rsid w:val="00CD3BDF"/>
    <w:rsid w:val="00CD4333"/>
    <w:rsid w:val="00D0156A"/>
    <w:rsid w:val="00D0260E"/>
    <w:rsid w:val="00D11435"/>
    <w:rsid w:val="00D6325A"/>
    <w:rsid w:val="00D67B8F"/>
    <w:rsid w:val="00D904A0"/>
    <w:rsid w:val="00DA07F8"/>
    <w:rsid w:val="00DA4B8D"/>
    <w:rsid w:val="00DB0198"/>
    <w:rsid w:val="00DD5FB2"/>
    <w:rsid w:val="00DE4010"/>
    <w:rsid w:val="00DF4C8F"/>
    <w:rsid w:val="00DF57C2"/>
    <w:rsid w:val="00E0166A"/>
    <w:rsid w:val="00E04C98"/>
    <w:rsid w:val="00E63E67"/>
    <w:rsid w:val="00E74A60"/>
    <w:rsid w:val="00E753A4"/>
    <w:rsid w:val="00E76F75"/>
    <w:rsid w:val="00E91A30"/>
    <w:rsid w:val="00EC1CAC"/>
    <w:rsid w:val="00EC2CFD"/>
    <w:rsid w:val="00ED2341"/>
    <w:rsid w:val="00EE039E"/>
    <w:rsid w:val="00F11B57"/>
    <w:rsid w:val="00F23756"/>
    <w:rsid w:val="00F341B8"/>
    <w:rsid w:val="00F524C6"/>
    <w:rsid w:val="00F67268"/>
    <w:rsid w:val="00F73AD6"/>
    <w:rsid w:val="00F84AD5"/>
    <w:rsid w:val="00F94B15"/>
    <w:rsid w:val="00FC2578"/>
    <w:rsid w:val="00FC301F"/>
    <w:rsid w:val="00FE2D11"/>
    <w:rsid w:val="00FE5DB0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B9663-B2EE-450E-9473-ACDC456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DE40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0"/>
      <w:ind w:left="2878" w:right="2878"/>
      <w:jc w:val="center"/>
      <w:outlineLvl w:val="1"/>
    </w:pPr>
    <w:rPr>
      <w:rFonts w:ascii="Arial" w:eastAsia="Arial" w:hAnsi="Arial" w:cs="Arial"/>
      <w:b/>
      <w:bCs/>
      <w:sz w:val="22"/>
      <w:szCs w:val="2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0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e1">
    <w:name w:val="Style1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Style15">
    <w:name w:val="Style15"/>
    <w:pPr>
      <w:tabs>
        <w:tab w:val="left" w:pos="2304"/>
      </w:tabs>
      <w:spacing w:after="220"/>
      <w:jc w:val="both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Style12">
    <w:name w:val="Style12"/>
    <w:pPr>
      <w:tabs>
        <w:tab w:val="left" w:pos="864"/>
      </w:tabs>
      <w:spacing w:after="220"/>
      <w:jc w:val="both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Style9">
    <w:name w:val="Style9"/>
    <w:rPr>
      <w:rFonts w:eastAsia="Times New Roman"/>
      <w:color w:val="000000"/>
      <w:sz w:val="16"/>
      <w:szCs w:val="16"/>
      <w:u w:color="000000"/>
      <w:lang w:val="en-US"/>
    </w:rPr>
  </w:style>
  <w:style w:type="paragraph" w:customStyle="1" w:styleId="Style19">
    <w:name w:val="Style19"/>
    <w:rPr>
      <w:rFonts w:cs="Arial Unicode MS"/>
      <w:color w:val="000000"/>
      <w:sz w:val="16"/>
      <w:szCs w:val="16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36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6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6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E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B7D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4">
    <w:name w:val="Character Style 4"/>
    <w:uiPriority w:val="99"/>
    <w:rsid w:val="00317AB3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A8"/>
    <w:rPr>
      <w:rFonts w:ascii="Tahoma" w:hAnsi="Tahoma" w:cs="Tahoma"/>
      <w:sz w:val="16"/>
      <w:szCs w:val="16"/>
      <w:lang w:val="en-US" w:eastAsia="en-US"/>
    </w:rPr>
  </w:style>
  <w:style w:type="paragraph" w:customStyle="1" w:styleId="iq">
    <w:name w:val="iq"/>
    <w:basedOn w:val="Normal"/>
    <w:rsid w:val="00BB0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x">
    <w:name w:val="cx"/>
    <w:basedOn w:val="DefaultParagraphFont"/>
    <w:rsid w:val="00BB00A8"/>
  </w:style>
  <w:style w:type="paragraph" w:customStyle="1" w:styleId="ir">
    <w:name w:val="ir"/>
    <w:basedOn w:val="Normal"/>
    <w:rsid w:val="00BB0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 4"/>
    <w:basedOn w:val="Normal"/>
    <w:uiPriority w:val="99"/>
    <w:rsid w:val="007F6F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 w:line="264" w:lineRule="auto"/>
      <w:jc w:val="both"/>
    </w:pPr>
    <w:rPr>
      <w:rFonts w:ascii="Verdana" w:eastAsia="Times New Roman" w:hAnsi="Verdana" w:cs="Verdana"/>
      <w:sz w:val="18"/>
      <w:szCs w:val="18"/>
      <w:bdr w:val="none" w:sz="0" w:space="0" w:color="auto"/>
      <w:lang w:eastAsia="en-GB"/>
    </w:rPr>
  </w:style>
  <w:style w:type="paragraph" w:customStyle="1" w:styleId="gv">
    <w:name w:val="gv"/>
    <w:basedOn w:val="Normal"/>
    <w:rsid w:val="00266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gd">
    <w:name w:val="gd"/>
    <w:basedOn w:val="DefaultParagraphFont"/>
    <w:rsid w:val="00266140"/>
  </w:style>
  <w:style w:type="paragraph" w:customStyle="1" w:styleId="gu">
    <w:name w:val="gu"/>
    <w:basedOn w:val="Normal"/>
    <w:rsid w:val="00266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hi">
    <w:name w:val="hi"/>
    <w:basedOn w:val="Normal"/>
    <w:rsid w:val="00266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fx">
    <w:name w:val="fx"/>
    <w:basedOn w:val="DefaultParagraphFont"/>
    <w:rsid w:val="00266140"/>
  </w:style>
  <w:style w:type="character" w:customStyle="1" w:styleId="fy">
    <w:name w:val="fy"/>
    <w:basedOn w:val="DefaultParagraphFont"/>
    <w:rsid w:val="00266140"/>
  </w:style>
  <w:style w:type="character" w:customStyle="1" w:styleId="hs">
    <w:name w:val="hs"/>
    <w:basedOn w:val="DefaultParagraphFont"/>
    <w:rsid w:val="00266140"/>
  </w:style>
  <w:style w:type="character" w:customStyle="1" w:styleId="CharacterStyle11">
    <w:name w:val="Character Style 11"/>
    <w:uiPriority w:val="99"/>
    <w:rsid w:val="00522F3D"/>
    <w:rPr>
      <w:sz w:val="20"/>
      <w:szCs w:val="20"/>
    </w:rPr>
  </w:style>
  <w:style w:type="paragraph" w:customStyle="1" w:styleId="Style10">
    <w:name w:val="Style 1"/>
    <w:basedOn w:val="Normal"/>
    <w:uiPriority w:val="99"/>
    <w:rsid w:val="00522F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0"/>
      <w:szCs w:val="20"/>
      <w:bdr w:val="none" w:sz="0" w:space="0" w:color="auto"/>
      <w:lang w:eastAsia="en-GB"/>
    </w:rPr>
  </w:style>
  <w:style w:type="character" w:styleId="Strong">
    <w:name w:val="Strong"/>
    <w:basedOn w:val="DefaultParagraphFont"/>
    <w:uiPriority w:val="22"/>
    <w:qFormat/>
    <w:rsid w:val="00522F3D"/>
    <w:rPr>
      <w:b/>
      <w:bCs/>
    </w:rPr>
  </w:style>
  <w:style w:type="character" w:customStyle="1" w:styleId="eu">
    <w:name w:val="eu"/>
    <w:basedOn w:val="DefaultParagraphFont"/>
    <w:rsid w:val="00A878F8"/>
  </w:style>
  <w:style w:type="character" w:customStyle="1" w:styleId="ff">
    <w:name w:val="ff"/>
    <w:basedOn w:val="DefaultParagraphFont"/>
    <w:rsid w:val="00A878F8"/>
  </w:style>
  <w:style w:type="paragraph" w:customStyle="1" w:styleId="ga1">
    <w:name w:val="ga1"/>
    <w:basedOn w:val="Normal"/>
    <w:rsid w:val="00A87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70"/>
    </w:pPr>
    <w:rPr>
      <w:rFonts w:eastAsia="Times New Roman"/>
      <w:bdr w:val="none" w:sz="0" w:space="0" w:color="auto"/>
      <w:lang w:val="en-GB" w:eastAsia="en-GB"/>
    </w:rPr>
  </w:style>
  <w:style w:type="character" w:customStyle="1" w:styleId="gf">
    <w:name w:val="gf"/>
    <w:basedOn w:val="DefaultParagraphFont"/>
    <w:rsid w:val="00A878F8"/>
  </w:style>
  <w:style w:type="character" w:customStyle="1" w:styleId="gh">
    <w:name w:val="gh"/>
    <w:basedOn w:val="DefaultParagraphFont"/>
    <w:rsid w:val="00A878F8"/>
  </w:style>
  <w:style w:type="paragraph" w:customStyle="1" w:styleId="fb1">
    <w:name w:val="fb1"/>
    <w:basedOn w:val="Normal"/>
    <w:rsid w:val="00A87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70"/>
    </w:pPr>
    <w:rPr>
      <w:rFonts w:eastAsia="Times New Roman"/>
      <w:bdr w:val="none" w:sz="0" w:space="0" w:color="auto"/>
      <w:lang w:val="en-GB" w:eastAsia="en-GB"/>
    </w:rPr>
  </w:style>
  <w:style w:type="paragraph" w:customStyle="1" w:styleId="hv1">
    <w:name w:val="hv1"/>
    <w:basedOn w:val="Normal"/>
    <w:rsid w:val="00812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70"/>
    </w:pPr>
    <w:rPr>
      <w:rFonts w:eastAsia="Times New Roman"/>
      <w:bdr w:val="none" w:sz="0" w:space="0" w:color="auto"/>
      <w:lang w:val="en-GB" w:eastAsia="en-GB"/>
    </w:rPr>
  </w:style>
  <w:style w:type="paragraph" w:customStyle="1" w:styleId="FFWLevel1">
    <w:name w:val="FFW Level 1"/>
    <w:basedOn w:val="Normal"/>
    <w:next w:val="FFWLevel2"/>
    <w:uiPriority w:val="4"/>
    <w:qFormat/>
    <w:locked/>
    <w:rsid w:val="00720398"/>
    <w:pPr>
      <w:keepNext/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60" w:lineRule="atLeast"/>
      <w:jc w:val="both"/>
      <w:outlineLvl w:val="0"/>
    </w:pPr>
    <w:rPr>
      <w:rFonts w:ascii="Arial" w:eastAsiaTheme="minorHAnsi" w:hAnsi="Arial" w:cstheme="minorBidi"/>
      <w:b/>
      <w:sz w:val="20"/>
      <w:szCs w:val="22"/>
      <w:bdr w:val="none" w:sz="0" w:space="0" w:color="auto"/>
      <w:lang w:val="en-GB"/>
    </w:rPr>
  </w:style>
  <w:style w:type="paragraph" w:customStyle="1" w:styleId="FFWLevel2">
    <w:name w:val="FFW Level 2"/>
    <w:basedOn w:val="Normal"/>
    <w:uiPriority w:val="4"/>
    <w:qFormat/>
    <w:locked/>
    <w:rsid w:val="00720398"/>
    <w:pPr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bdr w:val="none" w:sz="0" w:space="0" w:color="auto"/>
      <w:lang w:val="en-GB"/>
    </w:rPr>
  </w:style>
  <w:style w:type="paragraph" w:customStyle="1" w:styleId="FFWLevel3">
    <w:name w:val="FFW Level 3"/>
    <w:basedOn w:val="Normal"/>
    <w:uiPriority w:val="4"/>
    <w:qFormat/>
    <w:locked/>
    <w:rsid w:val="00720398"/>
    <w:pPr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bdr w:val="none" w:sz="0" w:space="0" w:color="auto"/>
      <w:lang w:val="en-GB"/>
    </w:rPr>
  </w:style>
  <w:style w:type="paragraph" w:customStyle="1" w:styleId="FFWLevel4">
    <w:name w:val="FFW Level 4"/>
    <w:basedOn w:val="Normal"/>
    <w:link w:val="FFWLevel4Char"/>
    <w:uiPriority w:val="5"/>
    <w:qFormat/>
    <w:locked/>
    <w:rsid w:val="00720398"/>
    <w:pPr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bdr w:val="none" w:sz="0" w:space="0" w:color="auto"/>
      <w:lang w:val="en-GB"/>
    </w:rPr>
  </w:style>
  <w:style w:type="paragraph" w:customStyle="1" w:styleId="FFWLevel5">
    <w:name w:val="FFW Level 5"/>
    <w:basedOn w:val="Normal"/>
    <w:uiPriority w:val="5"/>
    <w:qFormat/>
    <w:locked/>
    <w:rsid w:val="00720398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bdr w:val="none" w:sz="0" w:space="0" w:color="auto"/>
      <w:lang w:val="en-GB"/>
    </w:rPr>
  </w:style>
  <w:style w:type="paragraph" w:customStyle="1" w:styleId="FFWLevel6">
    <w:name w:val="FFW Level 6"/>
    <w:basedOn w:val="Normal"/>
    <w:uiPriority w:val="5"/>
    <w:qFormat/>
    <w:locked/>
    <w:rsid w:val="00720398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bdr w:val="none" w:sz="0" w:space="0" w:color="auto"/>
      <w:lang w:val="en-GB"/>
    </w:rPr>
  </w:style>
  <w:style w:type="numbering" w:customStyle="1" w:styleId="NumbListLegal">
    <w:name w:val="NumbList Legal"/>
    <w:uiPriority w:val="99"/>
    <w:rsid w:val="00720398"/>
    <w:pPr>
      <w:numPr>
        <w:numId w:val="18"/>
      </w:numPr>
    </w:pPr>
  </w:style>
  <w:style w:type="character" w:customStyle="1" w:styleId="FFWLevel4Char">
    <w:name w:val="FFW Level 4 Char"/>
    <w:link w:val="FFWLevel4"/>
    <w:uiPriority w:val="5"/>
    <w:locked/>
    <w:rsid w:val="00720398"/>
    <w:rPr>
      <w:rFonts w:ascii="Arial" w:eastAsiaTheme="minorHAnsi" w:hAnsi="Arial" w:cstheme="minorBidi"/>
      <w:szCs w:val="22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E4010"/>
    <w:rPr>
      <w:rFonts w:ascii="Arial" w:eastAsia="Arial" w:hAnsi="Arial" w:cs="Arial"/>
      <w:b/>
      <w:bCs/>
      <w:sz w:val="22"/>
      <w:szCs w:val="22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40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6"/>
      <w:ind w:left="79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E40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E40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E4010"/>
    <w:rPr>
      <w:rFonts w:ascii="Arial" w:eastAsia="Arial" w:hAnsi="Arial" w:cs="Arial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5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750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148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823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0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31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36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04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595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332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recta-plu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8082719_2</vt:lpstr>
    </vt:vector>
  </TitlesOfParts>
  <Company>BGC Partners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8082719_2</dc:title>
  <dc:creator>Goode, William</dc:creator>
  <cp:lastModifiedBy>Simon Hudson</cp:lastModifiedBy>
  <cp:revision>2</cp:revision>
  <cp:lastPrinted>2018-12-11T18:00:00Z</cp:lastPrinted>
  <dcterms:created xsi:type="dcterms:W3CDTF">2019-01-07T12:08:00Z</dcterms:created>
  <dcterms:modified xsi:type="dcterms:W3CDTF">2019-01-07T12:08:00Z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ner">
    <vt:lpwstr>AXW</vt:lpwstr>
  </property>
  <property fmtid="{D5CDD505-2E9C-101B-9397-08002B2CF9AE}" pid="3" name="Client">
    <vt:lpwstr>D/0660</vt:lpwstr>
  </property>
  <property fmtid="{D5CDD505-2E9C-101B-9397-08002B2CF9AE}" pid="4" name="ClientName">
    <vt:lpwstr>Directa Plus plc</vt:lpwstr>
  </property>
  <property fmtid="{D5CDD505-2E9C-101B-9397-08002B2CF9AE}" pid="5" name="Matter">
    <vt:lpwstr>D/0660/0013</vt:lpwstr>
  </property>
  <property fmtid="{D5CDD505-2E9C-101B-9397-08002B2CF9AE}" pid="6" name="MatterDesc">
    <vt:lpwstr>Project Apollo - secondary fundraise - AXW</vt:lpwstr>
  </property>
  <property fmtid="{D5CDD505-2E9C-101B-9397-08002B2CF9AE}" pid="7" name="Lawyer">
    <vt:lpwstr>HLS</vt:lpwstr>
  </property>
  <property fmtid="{D5CDD505-2E9C-101B-9397-08002B2CF9AE}" pid="8" name="Keywords">
    <vt:lpwstr>8082719_2</vt:lpwstr>
  </property>
  <property fmtid="{D5CDD505-2E9C-101B-9397-08002B2CF9AE}" pid="9" name="DocNumber">
    <vt:lpwstr>8082719_2</vt:lpwstr>
  </property>
</Properties>
</file>